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881"/>
        <w:gridCol w:w="4095"/>
      </w:tblGrid>
      <w:tr w:rsidR="00D07D01" w:rsidRPr="009C3D5A" w:rsidTr="00820484">
        <w:trPr>
          <w:trHeight w:val="915"/>
        </w:trPr>
        <w:tc>
          <w:tcPr>
            <w:tcW w:w="5644" w:type="dxa"/>
            <w:vAlign w:val="center"/>
          </w:tcPr>
          <w:p w:rsidR="00D07D01" w:rsidRPr="009C3D5A" w:rsidRDefault="00197079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230A29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7214CC">
              <w:rPr>
                <w:rFonts w:asciiTheme="majorHAnsi" w:eastAsiaTheme="majorEastAsia" w:hAnsiTheme="majorHAnsi" w:cstheme="majorBidi"/>
                <w:sz w:val="36"/>
                <w:szCs w:val="36"/>
              </w:rPr>
              <w:t>Mart</w:t>
            </w:r>
            <w:r w:rsidR="00D07D01"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D07D01" w:rsidRPr="009C3D5A" w:rsidRDefault="00D07D01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>DIŞ TİCARET BÜLTENİ</w:t>
            </w:r>
          </w:p>
        </w:tc>
        <w:tc>
          <w:tcPr>
            <w:tcW w:w="4678" w:type="dxa"/>
          </w:tcPr>
          <w:p w:rsidR="00D07D01" w:rsidRPr="009C3D5A" w:rsidRDefault="007214CC" w:rsidP="007214CC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30</w:t>
            </w:r>
            <w:r w:rsidR="00CB0A4D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Nisan</w:t>
            </w:r>
            <w:r w:rsidR="009C3D5A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230A29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D07D01" w:rsidRPr="009C3D5A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59041B84" wp14:editId="0DA08B9F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07D01" w:rsidRPr="009C3D5A" w:rsidRDefault="00D07D01" w:rsidP="00D07D01">
      <w:pPr>
        <w:pStyle w:val="stbilgi"/>
      </w:pPr>
    </w:p>
    <w:p w:rsidR="00D07D01" w:rsidRPr="009C3D5A" w:rsidRDefault="007214CC" w:rsidP="008B246F">
      <w:pPr>
        <w:jc w:val="both"/>
        <w:rPr>
          <w:b/>
        </w:rPr>
      </w:pPr>
      <w:r>
        <w:rPr>
          <w:b/>
        </w:rPr>
        <w:t>Mart</w:t>
      </w:r>
      <w:r w:rsidR="00D07D01" w:rsidRPr="009C3D5A">
        <w:rPr>
          <w:b/>
        </w:rPr>
        <w:t xml:space="preserve"> 201</w:t>
      </w:r>
      <w:r w:rsidR="00230A29">
        <w:rPr>
          <w:b/>
        </w:rPr>
        <w:t>9</w:t>
      </w:r>
      <w:r w:rsidR="00D07D01" w:rsidRPr="009C3D5A">
        <w:rPr>
          <w:b/>
        </w:rPr>
        <w:t xml:space="preserve"> Dış ticaret istatistiklerine ilişkin veriler Türkiye İstati</w:t>
      </w:r>
      <w:r>
        <w:rPr>
          <w:b/>
        </w:rPr>
        <w:t>stik Kurumu (TÜİK)</w:t>
      </w:r>
      <w:r w:rsidR="005879E5">
        <w:rPr>
          <w:rStyle w:val="DipnotBavurusu"/>
          <w:b/>
        </w:rPr>
        <w:footnoteReference w:id="1"/>
      </w:r>
      <w:r>
        <w:rPr>
          <w:b/>
        </w:rPr>
        <w:t xml:space="preserve"> tarafından 30 Nisan</w:t>
      </w:r>
      <w:r w:rsidR="00D07D01" w:rsidRPr="009C3D5A">
        <w:rPr>
          <w:b/>
        </w:rPr>
        <w:t xml:space="preserve"> 201</w:t>
      </w:r>
      <w:r w:rsidR="00230A29">
        <w:rPr>
          <w:b/>
        </w:rPr>
        <w:t>9</w:t>
      </w:r>
      <w:r w:rsidR="00D07D01" w:rsidRPr="009C3D5A">
        <w:rPr>
          <w:b/>
        </w:rPr>
        <w:t xml:space="preserve"> tarihinde yayımlandı.</w:t>
      </w:r>
    </w:p>
    <w:p w:rsidR="00764636" w:rsidRPr="009C3D5A" w:rsidRDefault="007214CC" w:rsidP="008B246F">
      <w:pPr>
        <w:jc w:val="both"/>
      </w:pPr>
      <w:r>
        <w:t>Mart</w:t>
      </w:r>
      <w:r w:rsidR="00764636" w:rsidRPr="009C3D5A">
        <w:t xml:space="preserve"> ayında Türkiye’nin </w:t>
      </w:r>
      <w:r w:rsidR="00672626" w:rsidRPr="009C3D5A">
        <w:t>ihracatı</w:t>
      </w:r>
      <w:r w:rsidR="007C538F">
        <w:t>,</w:t>
      </w:r>
      <w:r w:rsidR="00672626" w:rsidRPr="009C3D5A">
        <w:t xml:space="preserve"> </w:t>
      </w:r>
      <w:r w:rsidR="00764636" w:rsidRPr="009C3D5A">
        <w:t>bir önceki yılın aynı ayına göre yü</w:t>
      </w:r>
      <w:r w:rsidR="00DB20D7">
        <w:t xml:space="preserve">zde </w:t>
      </w:r>
      <w:r>
        <w:t>0</w:t>
      </w:r>
      <w:r w:rsidR="00FD0625">
        <w:t>,4</w:t>
      </w:r>
      <w:r w:rsidR="00F41830">
        <w:t xml:space="preserve"> </w:t>
      </w:r>
      <w:r>
        <w:t>azalarak 15</w:t>
      </w:r>
      <w:r w:rsidR="00764636" w:rsidRPr="009C3D5A">
        <w:t xml:space="preserve"> milyar</w:t>
      </w:r>
      <w:r w:rsidR="005C02CC">
        <w:t xml:space="preserve"> </w:t>
      </w:r>
      <w:r>
        <w:t>486</w:t>
      </w:r>
      <w:r w:rsidR="00676E49">
        <w:t xml:space="preserve"> milyon</w:t>
      </w:r>
      <w:r w:rsidR="00207511">
        <w:t xml:space="preserve"> dolar oldu</w:t>
      </w:r>
      <w:r w:rsidR="00764636" w:rsidRPr="009C3D5A">
        <w:t xml:space="preserve">. </w:t>
      </w:r>
      <w:r>
        <w:t>Mart</w:t>
      </w:r>
      <w:r w:rsidR="002157EE" w:rsidRPr="009C3D5A">
        <w:t xml:space="preserve"> ayı </w:t>
      </w:r>
      <w:r w:rsidR="000E09A3">
        <w:t>ithalatı</w:t>
      </w:r>
      <w:r w:rsidR="00BC0061">
        <w:t>,</w:t>
      </w:r>
      <w:r w:rsidR="00DB20D7">
        <w:t xml:space="preserve"> bir önceki </w:t>
      </w:r>
      <w:r w:rsidR="000E09A3">
        <w:t>yılın aynı ayına</w:t>
      </w:r>
      <w:r w:rsidR="00DB20D7">
        <w:t xml:space="preserve"> göre</w:t>
      </w:r>
      <w:r w:rsidR="002157EE" w:rsidRPr="009C3D5A">
        <w:t xml:space="preserve"> yüzde </w:t>
      </w:r>
      <w:r>
        <w:t>17,8</w:t>
      </w:r>
      <w:r w:rsidR="00F41830">
        <w:t xml:space="preserve"> azala</w:t>
      </w:r>
      <w:r w:rsidR="005C02CC">
        <w:t xml:space="preserve">rak </w:t>
      </w:r>
      <w:r w:rsidR="008974F5">
        <w:t>1</w:t>
      </w:r>
      <w:r>
        <w:t>7</w:t>
      </w:r>
      <w:r w:rsidR="00DB20D7">
        <w:t xml:space="preserve"> milyar</w:t>
      </w:r>
      <w:r w:rsidR="00047A3E">
        <w:t xml:space="preserve"> </w:t>
      </w:r>
      <w:r>
        <w:t>622</w:t>
      </w:r>
      <w:r w:rsidR="00676E49">
        <w:t xml:space="preserve"> milyon</w:t>
      </w:r>
      <w:r w:rsidR="00DB20D7">
        <w:t xml:space="preserve"> dolar </w:t>
      </w:r>
      <w:r w:rsidR="00207511">
        <w:t>olarak gerçekleşti</w:t>
      </w:r>
      <w:r w:rsidR="002157EE" w:rsidRPr="009C3D5A">
        <w:t>.</w:t>
      </w:r>
      <w:r w:rsidR="00B61CAE" w:rsidRPr="009C3D5A">
        <w:t xml:space="preserve"> </w:t>
      </w:r>
      <w:r w:rsidR="00540D42">
        <w:t xml:space="preserve">Buna göre </w:t>
      </w:r>
      <w:r>
        <w:t>Mart</w:t>
      </w:r>
      <w:r w:rsidR="00DB20D7">
        <w:t xml:space="preserve"> ayı dış ticaret açığı,</w:t>
      </w:r>
      <w:r w:rsidR="008B246F" w:rsidRPr="009C3D5A">
        <w:t xml:space="preserve"> yüzde </w:t>
      </w:r>
      <w:r>
        <w:t>63,7</w:t>
      </w:r>
      <w:r w:rsidR="00024E59" w:rsidRPr="009C3D5A">
        <w:t xml:space="preserve"> </w:t>
      </w:r>
      <w:r w:rsidR="00F41830">
        <w:t>azalarak</w:t>
      </w:r>
      <w:r w:rsidR="00024E59" w:rsidRPr="009C3D5A">
        <w:t xml:space="preserve"> </w:t>
      </w:r>
      <w:r w:rsidR="00F41830">
        <w:t>2</w:t>
      </w:r>
      <w:r w:rsidR="00024E59" w:rsidRPr="009C3D5A">
        <w:t xml:space="preserve"> milyar </w:t>
      </w:r>
      <w:r w:rsidR="00FD0625">
        <w:t>1</w:t>
      </w:r>
      <w:r w:rsidR="00F41830">
        <w:t>3</w:t>
      </w:r>
      <w:r>
        <w:t>7</w:t>
      </w:r>
      <w:r w:rsidR="00DB20D7">
        <w:t xml:space="preserve"> milyon dolar</w:t>
      </w:r>
      <w:r w:rsidR="00676E49">
        <w:t xml:space="preserve">a </w:t>
      </w:r>
      <w:r w:rsidR="00F41830">
        <w:t>geriledi</w:t>
      </w:r>
      <w:r w:rsidR="00676E49">
        <w:t xml:space="preserve">. </w:t>
      </w:r>
      <w:r w:rsidR="00F41830">
        <w:t>2018</w:t>
      </w:r>
      <w:r w:rsidR="00EB5E5C">
        <w:t xml:space="preserve"> </w:t>
      </w:r>
      <w:r>
        <w:t>Mart</w:t>
      </w:r>
      <w:r w:rsidR="00540D42">
        <w:t xml:space="preserve"> ayında yüzde </w:t>
      </w:r>
      <w:r>
        <w:t>72,6</w:t>
      </w:r>
      <w:r w:rsidR="00CA6A1E">
        <w:t xml:space="preserve"> </w:t>
      </w:r>
      <w:r w:rsidR="0023568E">
        <w:t>olan ihracatın itha</w:t>
      </w:r>
      <w:r w:rsidR="00CA6A1E">
        <w:t xml:space="preserve">latı karşılama oranı ise </w:t>
      </w:r>
      <w:r w:rsidR="00F41830">
        <w:t>2019</w:t>
      </w:r>
      <w:r w:rsidR="00EB5E5C">
        <w:t xml:space="preserve"> </w:t>
      </w:r>
      <w:r>
        <w:t>Mart</w:t>
      </w:r>
      <w:r w:rsidR="00047A3E">
        <w:t xml:space="preserve"> ayında yüzde </w:t>
      </w:r>
      <w:r>
        <w:t>87,9</w:t>
      </w:r>
      <w:r w:rsidR="00540D42">
        <w:t>’</w:t>
      </w:r>
      <w:r>
        <w:t>a</w:t>
      </w:r>
      <w:r w:rsidR="0023568E">
        <w:t xml:space="preserve"> </w:t>
      </w:r>
      <w:r w:rsidR="00F41830">
        <w:t>yükseldi</w:t>
      </w:r>
      <w:r w:rsidR="0023568E">
        <w:t>.</w:t>
      </w:r>
    </w:p>
    <w:p w:rsidR="00E20164" w:rsidRPr="009C3D5A" w:rsidRDefault="00F43AC2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Şekil 1: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Aylara göre </w:t>
      </w:r>
      <w:r w:rsidR="00B861B5">
        <w:rPr>
          <w:rFonts w:eastAsia="Times New Roman" w:cs="Times New Roman"/>
          <w:b/>
          <w:bCs/>
          <w:kern w:val="36"/>
          <w:sz w:val="24"/>
          <w:szCs w:val="24"/>
        </w:rPr>
        <w:t>ihracat, milyar</w:t>
      </w:r>
      <w:r w:rsidR="005D6CB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 xml:space="preserve"> (201</w:t>
      </w:r>
      <w:r w:rsidR="00F41830">
        <w:rPr>
          <w:rFonts w:eastAsia="Times New Roman" w:cs="Times New Roman"/>
          <w:b/>
          <w:bCs/>
          <w:kern w:val="36"/>
          <w:sz w:val="24"/>
          <w:szCs w:val="24"/>
        </w:rPr>
        <w:t>8-2019</w:t>
      </w:r>
      <w:r w:rsidR="00981AD3">
        <w:rPr>
          <w:rFonts w:eastAsia="Times New Roman" w:cs="Times New Roman"/>
          <w:b/>
          <w:bCs/>
          <w:kern w:val="36"/>
          <w:sz w:val="24"/>
          <w:szCs w:val="24"/>
        </w:rPr>
        <w:t xml:space="preserve"> Ocak-Aralık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BB3701" w:rsidRPr="009C3D5A" w:rsidRDefault="007214CC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3CADA554" wp14:editId="785F5771">
            <wp:extent cx="5791200" cy="150495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2888" w:rsidRPr="008D17ED" w:rsidRDefault="005D6CB6" w:rsidP="00A62888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A62888" w:rsidRPr="009C3D5A" w:rsidRDefault="00A62888" w:rsidP="00A62888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867C7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2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: Aylara göre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ithalat, milyar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F41830">
        <w:rPr>
          <w:rFonts w:eastAsia="Times New Roman" w:cs="Times New Roman"/>
          <w:b/>
          <w:bCs/>
          <w:kern w:val="36"/>
          <w:sz w:val="24"/>
          <w:szCs w:val="24"/>
        </w:rPr>
        <w:t xml:space="preserve"> (2018-2019</w:t>
      </w:r>
      <w:r w:rsidR="000174DC">
        <w:rPr>
          <w:rFonts w:eastAsia="Times New Roman" w:cs="Times New Roman"/>
          <w:b/>
          <w:bCs/>
          <w:kern w:val="36"/>
          <w:sz w:val="24"/>
          <w:szCs w:val="24"/>
        </w:rPr>
        <w:t xml:space="preserve"> Ocak-</w:t>
      </w:r>
      <w:r w:rsidR="00981AD3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A01B59" w:rsidRDefault="007214CC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 wp14:anchorId="63B863AB" wp14:editId="798DED0F">
            <wp:extent cx="5791200" cy="1666875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359A" w:rsidRDefault="00DB359A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DB359A">
        <w:rPr>
          <w:rFonts w:eastAsia="Times New Roman" w:cs="Times New Roman"/>
          <w:b/>
          <w:bCs/>
          <w:kern w:val="36"/>
          <w:sz w:val="14"/>
          <w:szCs w:val="24"/>
        </w:rPr>
        <w:t xml:space="preserve"> </w:t>
      </w: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913A90" w:rsidRDefault="00913A90" w:rsidP="00CE7503">
      <w:pPr>
        <w:spacing w:after="0" w:line="240" w:lineRule="auto"/>
      </w:pPr>
    </w:p>
    <w:p w:rsidR="00913A90" w:rsidRDefault="00E86C2E" w:rsidP="00CE7503">
      <w:pPr>
        <w:spacing w:after="0" w:line="240" w:lineRule="auto"/>
      </w:pPr>
      <w:r w:rsidRPr="00E86C2E">
        <w:t>İhracat rakamları</w:t>
      </w:r>
      <w:r w:rsidR="00CA6A1E">
        <w:t xml:space="preserve"> 201</w:t>
      </w:r>
      <w:r w:rsidR="0001649F">
        <w:t>9</w:t>
      </w:r>
      <w:r w:rsidR="00CA6A1E">
        <w:t xml:space="preserve">’in </w:t>
      </w:r>
      <w:r w:rsidR="004C68B6">
        <w:t>üçüncü</w:t>
      </w:r>
      <w:r w:rsidR="00CA6A1E">
        <w:t xml:space="preserve"> ayında b</w:t>
      </w:r>
      <w:r>
        <w:t xml:space="preserve">ir önceki aya göre </w:t>
      </w:r>
      <w:r w:rsidR="00E0516C">
        <w:t>yüzde</w:t>
      </w:r>
      <w:r w:rsidR="00BC0061">
        <w:t xml:space="preserve"> </w:t>
      </w:r>
      <w:r w:rsidR="009E61C5">
        <w:t>1</w:t>
      </w:r>
      <w:r w:rsidR="004C68B6">
        <w:t>4,1</w:t>
      </w:r>
      <w:r w:rsidR="00EC602A">
        <w:t xml:space="preserve"> </w:t>
      </w:r>
      <w:r w:rsidR="000C0786">
        <w:t>a</w:t>
      </w:r>
      <w:r w:rsidR="009E61C5">
        <w:t>rtış</w:t>
      </w:r>
      <w:r>
        <w:t>; bir önceki yı</w:t>
      </w:r>
      <w:r w:rsidR="00E0516C">
        <w:t>lın aynı ayına göre ise yüzde</w:t>
      </w:r>
      <w:r w:rsidR="00913A90">
        <w:t xml:space="preserve"> </w:t>
      </w:r>
      <w:r w:rsidR="004C68B6">
        <w:t>0</w:t>
      </w:r>
      <w:r w:rsidR="009E61C5">
        <w:t>,4</w:t>
      </w:r>
      <w:r w:rsidR="00BC0061">
        <w:t xml:space="preserve"> </w:t>
      </w:r>
      <w:r w:rsidR="004C68B6">
        <w:t>azalış</w:t>
      </w:r>
      <w:r>
        <w:t xml:space="preserve"> göster</w:t>
      </w:r>
      <w:r w:rsidR="004C68B6">
        <w:t>irken, 15</w:t>
      </w:r>
      <w:r w:rsidR="00E07B1A">
        <w:t>,</w:t>
      </w:r>
      <w:r w:rsidR="004C68B6">
        <w:t>5</w:t>
      </w:r>
      <w:r w:rsidR="00E0516C">
        <w:t xml:space="preserve"> milyar dolar</w:t>
      </w:r>
      <w:r w:rsidR="00207511">
        <w:t xml:space="preserve"> olarak gerçekleş</w:t>
      </w:r>
      <w:r w:rsidR="00E0516C">
        <w:t>ti.</w:t>
      </w:r>
      <w:r>
        <w:t xml:space="preserve"> </w:t>
      </w:r>
      <w:r w:rsidR="00E07B1A">
        <w:t>2019</w:t>
      </w:r>
      <w:r w:rsidR="00DB359A">
        <w:t xml:space="preserve"> yılına düş</w:t>
      </w:r>
      <w:r>
        <w:t xml:space="preserve">üşle başlayan ithalat rakamları </w:t>
      </w:r>
      <w:r w:rsidR="004C68B6">
        <w:t>Şubat</w:t>
      </w:r>
      <w:r w:rsidR="00CA6A1E">
        <w:t xml:space="preserve"> </w:t>
      </w:r>
      <w:r w:rsidR="004C68B6">
        <w:t>2019’da</w:t>
      </w:r>
      <w:r w:rsidR="000174DC">
        <w:t xml:space="preserve"> </w:t>
      </w:r>
      <w:r w:rsidR="009E61C5">
        <w:t>15,7</w:t>
      </w:r>
      <w:r w:rsidR="00DB359A" w:rsidRPr="009C3D5A">
        <w:t xml:space="preserve"> milyar dolar olan </w:t>
      </w:r>
      <w:r w:rsidR="00CA6A1E">
        <w:t>iken</w:t>
      </w:r>
      <w:r w:rsidR="00DB359A">
        <w:t>,</w:t>
      </w:r>
      <w:r w:rsidR="004C68B6">
        <w:t xml:space="preserve"> Mart</w:t>
      </w:r>
      <w:r w:rsidR="009E61C5">
        <w:t xml:space="preserve"> </w:t>
      </w:r>
      <w:r w:rsidR="00CA6A1E">
        <w:t>ayında</w:t>
      </w:r>
      <w:r w:rsidR="009E61C5">
        <w:t xml:space="preserve"> </w:t>
      </w:r>
      <w:r w:rsidR="004C68B6">
        <w:t>17,6 milyar dolar seviyesine yükseldi.</w:t>
      </w: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Pr="00CA6A1E" w:rsidRDefault="005F16FA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4"/>
          <w:szCs w:val="24"/>
        </w:rPr>
      </w:pPr>
    </w:p>
    <w:p w:rsidR="00501781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3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:Ülkelere göre</w:t>
      </w:r>
      <w:r w:rsidR="00321EBC">
        <w:rPr>
          <w:rFonts w:eastAsia="Times New Roman" w:cs="Times New Roman"/>
          <w:b/>
          <w:bCs/>
          <w:kern w:val="36"/>
          <w:sz w:val="24"/>
          <w:szCs w:val="24"/>
        </w:rPr>
        <w:t xml:space="preserve"> dış ticaret, $  (2019</w:t>
      </w:r>
      <w:r w:rsidR="00D308FB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7E7CDF">
        <w:rPr>
          <w:rFonts w:eastAsia="Times New Roman" w:cs="Times New Roman"/>
          <w:b/>
          <w:bCs/>
          <w:kern w:val="36"/>
          <w:sz w:val="24"/>
          <w:szCs w:val="24"/>
        </w:rPr>
        <w:t>Mart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31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019"/>
        <w:gridCol w:w="1608"/>
      </w:tblGrid>
      <w:tr w:rsidR="00587E0B" w:rsidRPr="00587E0B" w:rsidTr="00321EBC">
        <w:trPr>
          <w:trHeight w:val="119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1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160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İhracat</w:t>
            </w:r>
          </w:p>
        </w:tc>
      </w:tr>
      <w:tr w:rsidR="007E7CDF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Almanya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1.403.371.561</w:t>
            </w:r>
          </w:p>
        </w:tc>
      </w:tr>
      <w:tr w:rsidR="007E7CDF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Krallık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854.779.991</w:t>
            </w:r>
          </w:p>
        </w:tc>
      </w:tr>
      <w:tr w:rsidR="007E7CDF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İtalya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826.717.629</w:t>
            </w:r>
          </w:p>
        </w:tc>
      </w:tr>
      <w:tr w:rsidR="007E7CDF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781.773.143</w:t>
            </w:r>
          </w:p>
        </w:tc>
      </w:tr>
      <w:tr w:rsidR="007E7CDF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İspanya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766.582.257</w:t>
            </w:r>
          </w:p>
        </w:tc>
      </w:tr>
      <w:tr w:rsidR="007E7CDF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688.847.224</w:t>
            </w:r>
          </w:p>
        </w:tc>
      </w:tr>
      <w:tr w:rsidR="007E7CDF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Fransa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688.805.771</w:t>
            </w:r>
          </w:p>
        </w:tc>
      </w:tr>
      <w:tr w:rsidR="007E7CDF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İsrail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453.726.973</w:t>
            </w:r>
          </w:p>
        </w:tc>
      </w:tr>
      <w:tr w:rsidR="007E7CDF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Hollanda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418.819.096</w:t>
            </w:r>
          </w:p>
        </w:tc>
      </w:tr>
      <w:tr w:rsidR="007E7CDF" w:rsidRPr="00587E0B" w:rsidTr="00321EBC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Romanya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383.509.467</w:t>
            </w:r>
          </w:p>
        </w:tc>
      </w:tr>
    </w:tbl>
    <w:tbl>
      <w:tblPr>
        <w:tblpPr w:leftFromText="141" w:rightFromText="141" w:vertAnchor="text" w:horzAnchor="page" w:tblpX="5167" w:tblpY="-4440"/>
        <w:tblW w:w="33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047"/>
        <w:gridCol w:w="1608"/>
      </w:tblGrid>
      <w:tr w:rsidR="00913A90" w:rsidRPr="00587E0B" w:rsidTr="00321EBC">
        <w:trPr>
          <w:trHeight w:val="2"/>
        </w:trPr>
        <w:tc>
          <w:tcPr>
            <w:tcW w:w="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321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4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321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160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İthalat</w:t>
            </w:r>
          </w:p>
        </w:tc>
      </w:tr>
      <w:tr w:rsidR="007E7CDF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Rusya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1.968.718.510</w:t>
            </w:r>
          </w:p>
        </w:tc>
      </w:tr>
      <w:tr w:rsidR="007E7CDF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Almanya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1.615.351.327</w:t>
            </w:r>
          </w:p>
        </w:tc>
      </w:tr>
      <w:tr w:rsidR="007E7CDF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Çin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1.404.532.809</w:t>
            </w:r>
          </w:p>
        </w:tc>
      </w:tr>
      <w:tr w:rsidR="007E7CDF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Gizli Ülke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1.071.917.476</w:t>
            </w:r>
          </w:p>
        </w:tc>
      </w:tr>
      <w:tr w:rsidR="007E7CDF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940.198.732</w:t>
            </w:r>
          </w:p>
        </w:tc>
      </w:tr>
      <w:tr w:rsidR="007E7CDF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İtalya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701.333.584</w:t>
            </w:r>
          </w:p>
        </w:tc>
      </w:tr>
      <w:tr w:rsidR="007E7CDF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Hindistan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652.501.605</w:t>
            </w:r>
          </w:p>
        </w:tc>
      </w:tr>
      <w:tr w:rsidR="007E7CDF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İran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622.655.817</w:t>
            </w:r>
          </w:p>
        </w:tc>
      </w:tr>
      <w:tr w:rsidR="007E7CDF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Fransa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550.276.798</w:t>
            </w:r>
          </w:p>
        </w:tc>
      </w:tr>
      <w:tr w:rsidR="007E7CDF" w:rsidRPr="00587E0B" w:rsidTr="00321EBC">
        <w:trPr>
          <w:trHeight w:val="7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587E0B" w:rsidRDefault="007E7CDF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 Krallık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483.011.621</w:t>
            </w:r>
          </w:p>
        </w:tc>
      </w:tr>
    </w:tbl>
    <w:p w:rsidR="00501781" w:rsidRPr="00207D30" w:rsidRDefault="00CE7503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60716F" w:rsidRPr="009C3D5A" w:rsidRDefault="0060716F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913A90" w:rsidRDefault="008D17ED" w:rsidP="00CD72A5">
      <w:pPr>
        <w:jc w:val="both"/>
        <w:rPr>
          <w:rFonts w:eastAsia="Times New Roman" w:cs="Times New Roman"/>
          <w:b/>
          <w:bCs/>
          <w:kern w:val="36"/>
          <w:sz w:val="24"/>
          <w:szCs w:val="24"/>
        </w:rPr>
      </w:pPr>
      <w:r>
        <w:t xml:space="preserve">Türkiye, </w:t>
      </w:r>
      <w:r w:rsidR="00CC376F" w:rsidRPr="009C3D5A">
        <w:t>201</w:t>
      </w:r>
      <w:r w:rsidR="008262AB">
        <w:t>9</w:t>
      </w:r>
      <w:r w:rsidR="00CC376F" w:rsidRPr="009C3D5A">
        <w:t xml:space="preserve"> </w:t>
      </w:r>
      <w:r w:rsidR="007E7CDF">
        <w:t>Mart</w:t>
      </w:r>
      <w:r w:rsidR="00587E0B">
        <w:t xml:space="preserve"> </w:t>
      </w:r>
      <w:r>
        <w:t>ayında</w:t>
      </w:r>
      <w:r w:rsidR="00955246" w:rsidRPr="009C3D5A">
        <w:t xml:space="preserve"> en fazla ihracatı</w:t>
      </w:r>
      <w:r w:rsidR="00501781">
        <w:t xml:space="preserve"> Almanya’ya yapmıştır. 1</w:t>
      </w:r>
      <w:r w:rsidR="007E7CDF">
        <w:t>,40</w:t>
      </w:r>
      <w:r w:rsidR="00CC376F" w:rsidRPr="009C3D5A">
        <w:t xml:space="preserve"> milyar dolarlık ihracat</w:t>
      </w:r>
      <w:r w:rsidR="00955246" w:rsidRPr="009C3D5A">
        <w:t xml:space="preserve"> ile </w:t>
      </w:r>
      <w:r w:rsidR="00CC376F" w:rsidRPr="009C3D5A">
        <w:t>Almanya</w:t>
      </w:r>
      <w:r w:rsidR="00955246" w:rsidRPr="009C3D5A">
        <w:t xml:space="preserve"> birinci sırada yer alırken</w:t>
      </w:r>
      <w:r w:rsidR="006D5432" w:rsidRPr="009C3D5A">
        <w:t xml:space="preserve"> Almanya’yı</w:t>
      </w:r>
      <w:r w:rsidR="00955246" w:rsidRPr="009C3D5A">
        <w:t xml:space="preserve"> sırası ile</w:t>
      </w:r>
      <w:r w:rsidR="006E7CD2" w:rsidRPr="009C3D5A">
        <w:t xml:space="preserve"> </w:t>
      </w:r>
      <w:r w:rsidR="007E7CDF">
        <w:t>854,8</w:t>
      </w:r>
      <w:r w:rsidR="006E7CD2" w:rsidRPr="009C3D5A">
        <w:t xml:space="preserve"> </w:t>
      </w:r>
      <w:r w:rsidR="00E50701">
        <w:t>milyon</w:t>
      </w:r>
      <w:r w:rsidR="006E7CD2" w:rsidRPr="009C3D5A">
        <w:t xml:space="preserve"> dolar ile</w:t>
      </w:r>
      <w:r w:rsidR="006006DA">
        <w:t xml:space="preserve"> </w:t>
      </w:r>
      <w:r w:rsidR="008262AB">
        <w:t>B. Krallık</w:t>
      </w:r>
      <w:r w:rsidR="00955246" w:rsidRPr="009C3D5A">
        <w:t xml:space="preserve">, </w:t>
      </w:r>
      <w:r w:rsidR="007E7CDF">
        <w:t>826,7</w:t>
      </w:r>
      <w:r w:rsidR="006E7CD2" w:rsidRPr="009C3D5A">
        <w:t xml:space="preserve"> </w:t>
      </w:r>
      <w:r w:rsidR="00501781">
        <w:t>milyon</w:t>
      </w:r>
      <w:r w:rsidR="006E7CD2" w:rsidRPr="009C3D5A">
        <w:t xml:space="preserve"> dolar ile </w:t>
      </w:r>
      <w:r w:rsidR="00587E0B">
        <w:t>İtalya</w:t>
      </w:r>
      <w:r w:rsidR="00955246" w:rsidRPr="009C3D5A">
        <w:t xml:space="preserve"> ve</w:t>
      </w:r>
      <w:r w:rsidR="006E7CD2" w:rsidRPr="009C3D5A">
        <w:t xml:space="preserve"> </w:t>
      </w:r>
      <w:r w:rsidR="007E7CDF">
        <w:t>781,8</w:t>
      </w:r>
      <w:r w:rsidR="00501781">
        <w:t xml:space="preserve"> milyon</w:t>
      </w:r>
      <w:r w:rsidR="006E7CD2" w:rsidRPr="009C3D5A">
        <w:t xml:space="preserve"> dolar ile</w:t>
      </w:r>
      <w:r w:rsidR="009E6845">
        <w:t xml:space="preserve"> </w:t>
      </w:r>
      <w:r w:rsidR="007E7CDF">
        <w:t>Irak</w:t>
      </w:r>
      <w:r w:rsidR="00F53242">
        <w:t xml:space="preserve"> </w:t>
      </w:r>
      <w:r w:rsidR="00955246" w:rsidRPr="009C3D5A">
        <w:t>takip etmektedir. İth</w:t>
      </w:r>
      <w:r w:rsidR="00587E0B">
        <w:t>alatta i</w:t>
      </w:r>
      <w:r w:rsidR="006006DA">
        <w:t xml:space="preserve">se </w:t>
      </w:r>
      <w:r w:rsidR="008262AB">
        <w:t>Rusya</w:t>
      </w:r>
      <w:r w:rsidR="006006DA">
        <w:t xml:space="preserve"> lider konumdadır.</w:t>
      </w:r>
      <w:r w:rsidR="008262AB">
        <w:t xml:space="preserve"> Türkiye’nin 2019</w:t>
      </w:r>
      <w:r w:rsidR="006D5432" w:rsidRPr="009C3D5A">
        <w:t xml:space="preserve"> </w:t>
      </w:r>
      <w:r w:rsidR="007E7CDF">
        <w:t>Mart</w:t>
      </w:r>
      <w:r w:rsidR="00955246" w:rsidRPr="009C3D5A">
        <w:t xml:space="preserve"> </w:t>
      </w:r>
      <w:r w:rsidR="00587E0B">
        <w:t xml:space="preserve">ayında </w:t>
      </w:r>
      <w:r w:rsidR="008262AB">
        <w:t>Rusya’da</w:t>
      </w:r>
      <w:r w:rsidR="00CA6A1E">
        <w:t>n</w:t>
      </w:r>
      <w:r w:rsidR="00955246" w:rsidRPr="009C3D5A">
        <w:t xml:space="preserve"> yaptığı ithalat </w:t>
      </w:r>
      <w:r w:rsidR="007E7CDF">
        <w:t>1,97</w:t>
      </w:r>
      <w:r w:rsidR="00955246" w:rsidRPr="009C3D5A">
        <w:t xml:space="preserve"> milyar dolar olup </w:t>
      </w:r>
      <w:r w:rsidR="008262AB">
        <w:t>Rusya’yı</w:t>
      </w:r>
      <w:r w:rsidR="00955246" w:rsidRPr="009C3D5A">
        <w:t xml:space="preserve"> sırası ile </w:t>
      </w:r>
      <w:r w:rsidR="008262AB">
        <w:t>1</w:t>
      </w:r>
      <w:r w:rsidR="006D5432" w:rsidRPr="009C3D5A">
        <w:t>,</w:t>
      </w:r>
      <w:r w:rsidR="007E7CDF">
        <w:t>62</w:t>
      </w:r>
      <w:r w:rsidR="003D0EA9" w:rsidRPr="009C3D5A">
        <w:t xml:space="preserve"> milyar dolar ile </w:t>
      </w:r>
      <w:r w:rsidR="007E7CDF">
        <w:t>Almanya, 1,40</w:t>
      </w:r>
      <w:r w:rsidR="003D0EA9" w:rsidRPr="009C3D5A">
        <w:t xml:space="preserve"> milyar dolar ile </w:t>
      </w:r>
      <w:r w:rsidR="008262AB">
        <w:t>Çin</w:t>
      </w:r>
      <w:r w:rsidR="00E50701">
        <w:t xml:space="preserve"> ve </w:t>
      </w:r>
      <w:r w:rsidR="008262AB">
        <w:t>1,</w:t>
      </w:r>
      <w:r w:rsidR="007E7CDF">
        <w:t>07</w:t>
      </w:r>
      <w:r w:rsidR="00DA7CF5">
        <w:t xml:space="preserve"> milyar</w:t>
      </w:r>
      <w:r w:rsidR="003D0EA9" w:rsidRPr="009C3D5A">
        <w:t xml:space="preserve"> dolar ile </w:t>
      </w:r>
      <w:r w:rsidR="007E7CDF">
        <w:t xml:space="preserve">gizli ülke verisi </w:t>
      </w:r>
      <w:r w:rsidR="00955246" w:rsidRPr="009C3D5A">
        <w:t xml:space="preserve">takip etmektedir. </w:t>
      </w:r>
    </w:p>
    <w:p w:rsidR="00314CD6" w:rsidRDefault="00D074EA" w:rsidP="00314CD6">
      <w:pPr>
        <w:spacing w:after="0" w:line="240" w:lineRule="auto"/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4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="00284EE7" w:rsidRPr="00284EE7">
        <w:t xml:space="preserve"> </w:t>
      </w:r>
      <w:r w:rsidR="00284EE7">
        <w:rPr>
          <w:rFonts w:eastAsia="Times New Roman" w:cs="Times New Roman"/>
          <w:b/>
          <w:bCs/>
          <w:kern w:val="36"/>
          <w:sz w:val="24"/>
          <w:szCs w:val="24"/>
        </w:rPr>
        <w:t xml:space="preserve">SITC Rev3 sınıflamasına göre </w:t>
      </w:r>
      <w:r w:rsidR="00207511">
        <w:rPr>
          <w:rFonts w:eastAsia="Times New Roman" w:cs="Times New Roman"/>
          <w:b/>
          <w:bCs/>
          <w:kern w:val="36"/>
          <w:sz w:val="24"/>
          <w:szCs w:val="24"/>
        </w:rPr>
        <w:t>dış ticaret, $  (</w:t>
      </w:r>
      <w:r w:rsidR="0001649F">
        <w:rPr>
          <w:rFonts w:eastAsia="Times New Roman" w:cs="Times New Roman"/>
          <w:b/>
          <w:bCs/>
          <w:kern w:val="36"/>
          <w:sz w:val="24"/>
          <w:szCs w:val="24"/>
        </w:rPr>
        <w:t>2019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7E7CDF">
        <w:rPr>
          <w:rFonts w:eastAsia="Times New Roman" w:cs="Times New Roman"/>
          <w:b/>
          <w:bCs/>
          <w:kern w:val="36"/>
          <w:sz w:val="24"/>
          <w:szCs w:val="24"/>
        </w:rPr>
        <w:t>Mart</w:t>
      </w:r>
      <w:r w:rsidR="00E57C88">
        <w:rPr>
          <w:rFonts w:eastAsia="Times New Roman" w:cs="Times New Roman"/>
          <w:b/>
          <w:bCs/>
          <w:kern w:val="36"/>
          <w:sz w:val="24"/>
          <w:szCs w:val="24"/>
        </w:rPr>
        <w:t>)</w:t>
      </w:r>
      <w:r w:rsidR="00314CD6">
        <w:t xml:space="preserve"> 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706"/>
        <w:gridCol w:w="5440"/>
        <w:gridCol w:w="2294"/>
      </w:tblGrid>
      <w:tr w:rsidR="00913A90" w:rsidRPr="00E57C88" w:rsidTr="008E61FA">
        <w:trPr>
          <w:trHeight w:val="1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54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229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İhracat Dolar</w:t>
            </w:r>
          </w:p>
        </w:tc>
      </w:tr>
      <w:tr w:rsidR="007E7CDF" w:rsidRPr="00E57C88" w:rsidTr="008E61FA">
        <w:trPr>
          <w:trHeight w:val="357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Motorlu kara taşıtı ve römorklar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2.558.574.429</w:t>
            </w:r>
          </w:p>
        </w:tc>
      </w:tr>
      <w:tr w:rsidR="007E7CDF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 metal sanayi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1.499.383.311</w:t>
            </w:r>
          </w:p>
        </w:tc>
      </w:tr>
      <w:tr w:rsidR="007E7CDF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Başka yerde sınıflandırılmamış makine ve teçhizat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1.431.130.445</w:t>
            </w:r>
          </w:p>
        </w:tc>
      </w:tr>
      <w:tr w:rsidR="007E7CDF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Giyim eşyası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1.351.885.507</w:t>
            </w:r>
          </w:p>
        </w:tc>
      </w:tr>
      <w:tr w:rsidR="007E7CDF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Tekstil ürünleri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1.187.262.281</w:t>
            </w:r>
          </w:p>
        </w:tc>
      </w:tr>
      <w:tr w:rsidR="007E7CDF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Gıda ürünleri ve içecek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991.339.267</w:t>
            </w:r>
          </w:p>
        </w:tc>
      </w:tr>
      <w:tr w:rsidR="007E7CDF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Kimyasal madde ve ürünler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826.556.538</w:t>
            </w:r>
          </w:p>
        </w:tc>
      </w:tr>
      <w:tr w:rsidR="007E7CDF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Mobilya ve başka yerde sınıflandırılmamış diğer ürünler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816.876.642</w:t>
            </w:r>
          </w:p>
        </w:tc>
      </w:tr>
      <w:tr w:rsidR="007E7CDF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Plastik ve kauçuk ürünleri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678.369.028</w:t>
            </w:r>
          </w:p>
        </w:tc>
      </w:tr>
      <w:tr w:rsidR="007E7CDF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Metal eşya sanayi (makine ve teçhizatı hariç)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671.930.691</w:t>
            </w:r>
          </w:p>
        </w:tc>
      </w:tr>
    </w:tbl>
    <w:p w:rsidR="00D074EA" w:rsidRDefault="00D074EA" w:rsidP="00B61CAE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638"/>
        <w:gridCol w:w="5586"/>
        <w:gridCol w:w="2268"/>
      </w:tblGrid>
      <w:tr w:rsidR="00E57C88" w:rsidRPr="00E57C88" w:rsidTr="008E61FA">
        <w:trPr>
          <w:trHeight w:val="272"/>
        </w:trPr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63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558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İthalat Dolar</w:t>
            </w:r>
          </w:p>
        </w:tc>
      </w:tr>
      <w:tr w:rsidR="007E7CDF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Kimyasal madde ve ürünler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2.786.479.816</w:t>
            </w:r>
          </w:p>
        </w:tc>
      </w:tr>
      <w:tr w:rsidR="007E7CDF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 metal sanayi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2.469.257.840</w:t>
            </w:r>
          </w:p>
        </w:tc>
      </w:tr>
      <w:tr w:rsidR="007E7CDF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Gizli veri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2.411.986.355</w:t>
            </w:r>
          </w:p>
        </w:tc>
      </w:tr>
      <w:tr w:rsidR="007E7CDF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Başka yerde sınıflandırılmamış makine ve teçhizat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1.214.393.863</w:t>
            </w:r>
          </w:p>
        </w:tc>
      </w:tr>
      <w:tr w:rsidR="007E7CDF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Motorlu kara taşıtı ve römorklar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1.123.712.627</w:t>
            </w:r>
          </w:p>
        </w:tc>
      </w:tr>
      <w:tr w:rsidR="007E7CDF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Kok kömürü, rafine edilmiş petrol ürünleri ve nükleer yakıtlar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967.831.386</w:t>
            </w:r>
          </w:p>
        </w:tc>
      </w:tr>
      <w:tr w:rsidR="007E7CDF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Tarım ve hayvancılık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929.292.310</w:t>
            </w:r>
          </w:p>
        </w:tc>
      </w:tr>
      <w:tr w:rsidR="007E7CDF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Başka yerde sınıflandırılmamış elektrikli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mekina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 cihazlar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642.635.612</w:t>
            </w:r>
          </w:p>
        </w:tc>
      </w:tr>
      <w:tr w:rsidR="007E7CDF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Atık ve hurdalar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626.431.402</w:t>
            </w:r>
          </w:p>
        </w:tc>
      </w:tr>
      <w:tr w:rsidR="007E7CDF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7E7CDF" w:rsidRPr="00E57C88" w:rsidRDefault="007E7CDF" w:rsidP="007E7C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Radyo, televizyon, haberleşme teçhizatı ve cihazları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DF" w:rsidRDefault="007E7CDF" w:rsidP="007E7CD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535.009.392</w:t>
            </w:r>
          </w:p>
        </w:tc>
      </w:tr>
    </w:tbl>
    <w:p w:rsidR="00C56530" w:rsidRPr="00207D30" w:rsidRDefault="00C56530" w:rsidP="00C56530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5123EB" w:rsidRDefault="00C56530" w:rsidP="005123EB">
      <w:pPr>
        <w:jc w:val="both"/>
        <w:rPr>
          <w:rFonts w:cstheme="minorHAnsi"/>
          <w:color w:val="000000"/>
        </w:rPr>
      </w:pPr>
      <w:r>
        <w:br/>
      </w:r>
      <w:proofErr w:type="spellStart"/>
      <w:r w:rsidR="00D074EA" w:rsidRPr="009C3D5A">
        <w:t>Se</w:t>
      </w:r>
      <w:r w:rsidR="006306C8">
        <w:t>ktörel</w:t>
      </w:r>
      <w:proofErr w:type="spellEnd"/>
      <w:r w:rsidR="006306C8">
        <w:t xml:space="preserve"> ihracatta</w:t>
      </w:r>
      <w:r w:rsidR="00D074EA">
        <w:t>, 201</w:t>
      </w:r>
      <w:r w:rsidR="00CD72A5">
        <w:t>9</w:t>
      </w:r>
      <w:r w:rsidR="00D074EA" w:rsidRPr="009C3D5A">
        <w:t xml:space="preserve"> </w:t>
      </w:r>
      <w:r w:rsidR="004F4379">
        <w:t>Mart</w:t>
      </w:r>
      <w:r w:rsidR="005123EB">
        <w:t xml:space="preserve"> </w:t>
      </w:r>
      <w:r w:rsidR="00801235">
        <w:t xml:space="preserve">ayında </w:t>
      </w:r>
      <w:r w:rsidR="004F4379">
        <w:t>2,56</w:t>
      </w:r>
      <w:r w:rsidR="006306C8">
        <w:t xml:space="preserve"> milyar dolar ile </w:t>
      </w:r>
      <w:r w:rsidR="004F4379" w:rsidRPr="004F4379">
        <w:t>Motorlu kara taşıtı ve römorklar</w:t>
      </w:r>
      <w:r w:rsidR="00F727B6">
        <w:t xml:space="preserve"> </w:t>
      </w:r>
      <w:r w:rsidR="006306C8">
        <w:t>lider konumdadır.</w:t>
      </w:r>
      <w:r w:rsidR="00D074EA" w:rsidRPr="009C3D5A">
        <w:t xml:space="preserve"> Sektörü </w:t>
      </w:r>
      <w:r w:rsidR="006306C8">
        <w:t>1,</w:t>
      </w:r>
      <w:r w:rsidR="004F4379">
        <w:t>50</w:t>
      </w:r>
      <w:r w:rsidR="00D074EA" w:rsidRPr="009C3D5A">
        <w:t xml:space="preserve"> milyar dolar ile </w:t>
      </w:r>
      <w:r w:rsidR="004F4379">
        <w:t>ana metal sanayi</w:t>
      </w:r>
      <w:r w:rsidR="006306C8" w:rsidRPr="009E6645">
        <w:t xml:space="preserve"> </w:t>
      </w:r>
      <w:r w:rsidR="006306C8" w:rsidRPr="009C3D5A">
        <w:t>ihracatı</w:t>
      </w:r>
      <w:r w:rsidR="00D074EA">
        <w:t xml:space="preserve"> </w:t>
      </w:r>
      <w:r w:rsidR="00D074EA" w:rsidRPr="009C3D5A">
        <w:t xml:space="preserve">ve </w:t>
      </w:r>
      <w:r w:rsidR="009C05B7">
        <w:t>1</w:t>
      </w:r>
      <w:r w:rsidR="004F4379">
        <w:t>,43</w:t>
      </w:r>
      <w:r w:rsidR="00CD72A5">
        <w:t xml:space="preserve"> milyar dolar </w:t>
      </w:r>
      <w:r w:rsidR="00D074EA" w:rsidRPr="009C3D5A">
        <w:t xml:space="preserve">ile </w:t>
      </w:r>
      <w:r w:rsidR="004F4379">
        <w:t>b</w:t>
      </w:r>
      <w:r w:rsidR="004F4379" w:rsidRPr="004F4379">
        <w:t>aşka yerde sınıflandırılmamış makine ve teçhizat</w:t>
      </w:r>
      <w:r w:rsidR="00CD72A5">
        <w:t xml:space="preserve"> </w:t>
      </w:r>
      <w:r w:rsidR="00D074EA" w:rsidRPr="009C3D5A">
        <w:t xml:space="preserve">ihracatı takip etmektedir. İthalatta ise </w:t>
      </w:r>
      <w:r w:rsidR="004F4379">
        <w:t>ilk sırayı 2,79</w:t>
      </w:r>
      <w:r w:rsidR="005123EB">
        <w:t xml:space="preserve"> milyar dolarlık ithalat ile </w:t>
      </w:r>
      <w:r w:rsidR="004F4379">
        <w:t xml:space="preserve">kimyasal madde ve ürünler alırken </w:t>
      </w:r>
      <w:r w:rsidR="007F0174">
        <w:t xml:space="preserve">ürünler </w:t>
      </w:r>
      <w:r w:rsidR="005123EB">
        <w:t xml:space="preserve">alırken, </w:t>
      </w:r>
      <w:r w:rsidR="00DA63E7">
        <w:t xml:space="preserve">onu </w:t>
      </w:r>
      <w:r w:rsidR="004F4379">
        <w:t>2,47 milyar</w:t>
      </w:r>
      <w:r w:rsidR="007F0174">
        <w:t xml:space="preserve"> dolar </w:t>
      </w:r>
      <w:r w:rsidR="00801235">
        <w:t>ile</w:t>
      </w:r>
      <w:r w:rsidR="007F0174">
        <w:t xml:space="preserve"> </w:t>
      </w:r>
      <w:r w:rsidR="004F4379">
        <w:t xml:space="preserve">ana metal sanayi ve 2,41 milyar dolarlık </w:t>
      </w:r>
      <w:r w:rsidR="00801235">
        <w:t>ithalatı ile</w:t>
      </w:r>
      <w:r w:rsidR="007F0174">
        <w:t xml:space="preserve"> </w:t>
      </w:r>
      <w:r w:rsidR="004F4379" w:rsidRPr="002117E9">
        <w:t>aç</w:t>
      </w:r>
      <w:r w:rsidR="004F4379">
        <w:t xml:space="preserve">ıklanmayan (Gizli veri) </w:t>
      </w:r>
      <w:r w:rsidR="005123EB">
        <w:rPr>
          <w:rFonts w:cstheme="minorHAnsi"/>
          <w:color w:val="000000"/>
        </w:rPr>
        <w:t>takip etmektedir.</w:t>
      </w:r>
    </w:p>
    <w:p w:rsidR="00207D30" w:rsidRPr="00207D30" w:rsidRDefault="00207D30" w:rsidP="005123EB">
      <w:pPr>
        <w:jc w:val="both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5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Pr="00284EE7">
        <w:t xml:space="preserve">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İmalat sanayi ürünleri için teknoloji yoğunluğu, mily</w:t>
      </w:r>
      <w:r w:rsidR="00D864BD">
        <w:rPr>
          <w:rFonts w:eastAsia="Times New Roman" w:cs="Times New Roman"/>
          <w:b/>
          <w:bCs/>
          <w:kern w:val="36"/>
          <w:sz w:val="24"/>
          <w:szCs w:val="24"/>
        </w:rPr>
        <w:t>ar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$</w:t>
      </w:r>
      <w:r w:rsidR="00293278">
        <w:rPr>
          <w:rFonts w:eastAsia="Times New Roman" w:cs="Times New Roman"/>
          <w:b/>
          <w:bCs/>
          <w:kern w:val="36"/>
          <w:sz w:val="24"/>
          <w:szCs w:val="24"/>
        </w:rPr>
        <w:t>, %</w:t>
      </w:r>
      <w:r w:rsidR="008974F5">
        <w:rPr>
          <w:rFonts w:eastAsia="Times New Roman" w:cs="Times New Roman"/>
          <w:b/>
          <w:bCs/>
          <w:kern w:val="36"/>
          <w:sz w:val="24"/>
          <w:szCs w:val="24"/>
        </w:rPr>
        <w:t xml:space="preserve">  (201</w:t>
      </w:r>
      <w:r w:rsidR="007F0174">
        <w:rPr>
          <w:rFonts w:eastAsia="Times New Roman" w:cs="Times New Roman"/>
          <w:b/>
          <w:bCs/>
          <w:kern w:val="36"/>
          <w:sz w:val="24"/>
          <w:szCs w:val="24"/>
        </w:rPr>
        <w:t>9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</w:t>
      </w:r>
      <w:r w:rsidR="004F4379">
        <w:rPr>
          <w:rFonts w:eastAsia="Times New Roman" w:cs="Times New Roman"/>
          <w:b/>
          <w:bCs/>
          <w:kern w:val="36"/>
          <w:sz w:val="24"/>
          <w:szCs w:val="24"/>
        </w:rPr>
        <w:t>Mart</w:t>
      </w:r>
      <w:r w:rsidR="005C1EC6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418"/>
      </w:tblGrid>
      <w:tr w:rsidR="008378AE" w:rsidRPr="008378AE" w:rsidTr="008378AE">
        <w:trPr>
          <w:trHeight w:val="25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İhracat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  <w:proofErr w:type="spellEnd"/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imalat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sanayi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087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087D30"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087D30">
              <w:rPr>
                <w:rFonts w:ascii="Calibri" w:eastAsia="Times New Roman" w:hAnsi="Calibri" w:cs="Calibri"/>
                <w:color w:val="000000"/>
                <w:lang w:val="en-US" w:eastAsia="en-US"/>
              </w:rPr>
              <w:t>69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87D30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87D30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3,9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87D30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5,2</w:t>
            </w:r>
            <w:r w:rsidR="008E61FA"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87D30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35,7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87D30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87D30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27,2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087D30">
              <w:rPr>
                <w:rFonts w:ascii="Calibri" w:eastAsia="Times New Roman" w:hAnsi="Calibri" w:cs="Calibri"/>
                <w:color w:val="000000"/>
                <w:lang w:val="en-US" w:eastAsia="en-US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87D30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33,1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tbl>
      <w:tblPr>
        <w:tblW w:w="5402" w:type="dxa"/>
        <w:tblInd w:w="93" w:type="dxa"/>
        <w:tblLook w:val="04A0" w:firstRow="1" w:lastRow="0" w:firstColumn="1" w:lastColumn="0" w:noHBand="0" w:noVBand="1"/>
      </w:tblPr>
      <w:tblGrid>
        <w:gridCol w:w="2425"/>
        <w:gridCol w:w="1559"/>
        <w:gridCol w:w="1418"/>
      </w:tblGrid>
      <w:tr w:rsidR="008378AE" w:rsidRPr="008378AE" w:rsidTr="008378AE">
        <w:trPr>
          <w:trHeight w:val="21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İthalat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  <w:proofErr w:type="spellEnd"/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imalat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sanayi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F4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087D30"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19086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087D30">
              <w:rPr>
                <w:rFonts w:ascii="Calibri" w:eastAsia="Times New Roman" w:hAnsi="Calibri" w:cs="Calibri"/>
                <w:color w:val="000000"/>
                <w:lang w:val="en-US"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87D30" w:rsidP="00087D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  <w:r w:rsidR="00F41830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F41830"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  <w:r w:rsidR="008E61FA">
              <w:rPr>
                <w:rFonts w:ascii="Calibri" w:eastAsia="Times New Roman" w:hAnsi="Calibri" w:cs="Calibri"/>
                <w:color w:val="000000"/>
                <w:lang w:val="en-US" w:eastAsia="en-US"/>
              </w:rPr>
              <w:t>,7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87D30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87D30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40,2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87D30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87D30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32,4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</w:t>
            </w:r>
            <w:proofErr w:type="spellEnd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 xml:space="preserve"> </w:t>
            </w:r>
            <w:proofErr w:type="spellStart"/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teknoloji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87D30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87D30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11,8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D30" w:rsidRPr="00D074EA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p w:rsidR="00E27E57" w:rsidRPr="00DD6AA5" w:rsidRDefault="00C7379E" w:rsidP="00E27E57">
      <w:pPr>
        <w:jc w:val="both"/>
      </w:pPr>
      <w:r w:rsidRPr="009C3D5A">
        <w:t xml:space="preserve">Türkiye İstatistik Kurumu imalat sanayi ürünleri için teknoloji yoğunluğuna göre dış ticaret verilerini de açıklamaktadır. ISIC </w:t>
      </w:r>
      <w:r w:rsidR="00C1467F">
        <w:t>REV</w:t>
      </w:r>
      <w:r w:rsidRPr="009C3D5A">
        <w:t>.3 sınıflamasına göre</w:t>
      </w:r>
      <w:r w:rsidR="007F0174">
        <w:t xml:space="preserve"> 2019</w:t>
      </w:r>
      <w:r w:rsidRPr="009C3D5A">
        <w:t xml:space="preserve"> </w:t>
      </w:r>
      <w:r w:rsidR="00087D30">
        <w:t>Mart</w:t>
      </w:r>
      <w:r w:rsidR="007C155D" w:rsidRPr="009C3D5A">
        <w:t xml:space="preserve"> ayında </w:t>
      </w:r>
      <w:r w:rsidRPr="009C3D5A">
        <w:t xml:space="preserve">imalat sanayi ürünlerinin toplam </w:t>
      </w:r>
      <w:r w:rsidR="008378AE">
        <w:t>ihracatı içerisinde</w:t>
      </w:r>
      <w:r w:rsidRPr="009C3D5A">
        <w:t xml:space="preserve"> </w:t>
      </w:r>
      <w:r w:rsidR="00C1467F">
        <w:t>yüksek</w:t>
      </w:r>
      <w:r w:rsidRPr="009C3D5A">
        <w:t xml:space="preserve"> teknoloji</w:t>
      </w:r>
      <w:r w:rsidR="00C1467F">
        <w:t>li</w:t>
      </w:r>
      <w:r w:rsidR="008378AE">
        <w:t xml:space="preserve"> ürünlerin </w:t>
      </w:r>
      <w:r w:rsidR="00D471EB">
        <w:t xml:space="preserve">payı yüzde </w:t>
      </w:r>
      <w:r w:rsidR="007F0174">
        <w:t>3</w:t>
      </w:r>
      <w:r w:rsidR="00087D30">
        <w:t>,9</w:t>
      </w:r>
      <w:r w:rsidR="00BB0444">
        <w:t>,</w:t>
      </w:r>
      <w:r w:rsidRPr="009C3D5A">
        <w:t xml:space="preserve"> orta </w:t>
      </w:r>
      <w:r w:rsidR="00C1467F">
        <w:t>yüksek</w:t>
      </w:r>
      <w:r w:rsidRPr="009C3D5A">
        <w:t xml:space="preserve"> tekno</w:t>
      </w:r>
      <w:r w:rsidR="007C155D" w:rsidRPr="009C3D5A">
        <w:t>loji</w:t>
      </w:r>
      <w:r w:rsidR="00C1467F">
        <w:t>li</w:t>
      </w:r>
      <w:r w:rsidR="007C155D" w:rsidRPr="009C3D5A">
        <w:t xml:space="preserve"> ürünlerin payı ise yüzde </w:t>
      </w:r>
      <w:r w:rsidR="0019086A">
        <w:t>3</w:t>
      </w:r>
      <w:r w:rsidR="00087D30">
        <w:t>5,7</w:t>
      </w:r>
      <w:r w:rsidR="00DC3282">
        <w:t>’</w:t>
      </w:r>
      <w:r w:rsidR="000048F7">
        <w:t>dir</w:t>
      </w:r>
      <w:r w:rsidRPr="009C3D5A">
        <w:t>.</w:t>
      </w:r>
      <w:r w:rsidR="00E27E57" w:rsidRPr="009C3D5A">
        <w:t xml:space="preserve"> İthalatta ise imalat </w:t>
      </w:r>
      <w:r w:rsidR="007C155D" w:rsidRPr="009C3D5A">
        <w:t>sa</w:t>
      </w:r>
      <w:r w:rsidR="008378AE">
        <w:t xml:space="preserve">nayi ürünleri içerisinde </w:t>
      </w:r>
      <w:r w:rsidR="00C1467F">
        <w:t>yüksek</w:t>
      </w:r>
      <w:r w:rsidR="00E27E57" w:rsidRPr="009C3D5A">
        <w:t xml:space="preserve"> teknoloji</w:t>
      </w:r>
      <w:r w:rsidR="00C1467F">
        <w:t>li</w:t>
      </w:r>
      <w:r w:rsidR="00E27E57" w:rsidRPr="009C3D5A">
        <w:t xml:space="preserve"> </w:t>
      </w:r>
      <w:r w:rsidR="005C1EC6">
        <w:t>ürünlerinin payı yüzde 1</w:t>
      </w:r>
      <w:r w:rsidR="007F0174">
        <w:t>5</w:t>
      </w:r>
      <w:r w:rsidR="009C05B7">
        <w:t>,7</w:t>
      </w:r>
      <w:r w:rsidR="00E27E57" w:rsidRPr="009C3D5A">
        <w:t xml:space="preserve"> olmuştur. Orta </w:t>
      </w:r>
      <w:r w:rsidR="00C1467F">
        <w:t>yüksek</w:t>
      </w:r>
      <w:r w:rsidR="00E27E57" w:rsidRPr="009C3D5A">
        <w:t xml:space="preserve"> teknoloji</w:t>
      </w:r>
      <w:r w:rsidR="000048F7">
        <w:t>li ürünlerin pa</w:t>
      </w:r>
      <w:r w:rsidR="007F0174">
        <w:t xml:space="preserve">yı ise yüzde </w:t>
      </w:r>
      <w:r w:rsidR="00F079BE">
        <w:t>40,2</w:t>
      </w:r>
      <w:r w:rsidR="005C1EC6">
        <w:t>’</w:t>
      </w:r>
      <w:r w:rsidR="000048F7">
        <w:t>dir</w:t>
      </w:r>
      <w:r w:rsidR="00E27E57" w:rsidRPr="009C3D5A">
        <w:t>.</w:t>
      </w:r>
      <w:r w:rsidR="00E27E57" w:rsidRPr="00DD6AA5">
        <w:t xml:space="preserve"> </w:t>
      </w:r>
    </w:p>
    <w:p w:rsidR="00CE7503" w:rsidRPr="00DD6AA5" w:rsidRDefault="00CE7503"/>
    <w:p w:rsidR="006A09A3" w:rsidRPr="00DD6AA5" w:rsidRDefault="006A09A3"/>
    <w:p w:rsidR="006A09A3" w:rsidRPr="00DD6AA5" w:rsidRDefault="006A09A3"/>
    <w:sectPr w:rsidR="006A09A3" w:rsidRPr="00DD6AA5" w:rsidSect="00E2016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F8E" w:rsidRDefault="00E90F8E" w:rsidP="00F43AC2">
      <w:pPr>
        <w:spacing w:after="0" w:line="240" w:lineRule="auto"/>
      </w:pPr>
      <w:r>
        <w:separator/>
      </w:r>
    </w:p>
  </w:endnote>
  <w:endnote w:type="continuationSeparator" w:id="0">
    <w:p w:rsidR="00E90F8E" w:rsidRDefault="00E90F8E" w:rsidP="00F4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5396"/>
      <w:docPartObj>
        <w:docPartGallery w:val="Page Numbers (Bottom of Page)"/>
        <w:docPartUnique/>
      </w:docPartObj>
    </w:sdtPr>
    <w:sdtEndPr/>
    <w:sdtContent>
      <w:p w:rsidR="00820484" w:rsidRDefault="002B763F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9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0484" w:rsidRDefault="008204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F8E" w:rsidRDefault="00E90F8E" w:rsidP="00F43AC2">
      <w:pPr>
        <w:spacing w:after="0" w:line="240" w:lineRule="auto"/>
      </w:pPr>
      <w:r>
        <w:separator/>
      </w:r>
    </w:p>
  </w:footnote>
  <w:footnote w:type="continuationSeparator" w:id="0">
    <w:p w:rsidR="00E90F8E" w:rsidRDefault="00E90F8E" w:rsidP="00F43AC2">
      <w:pPr>
        <w:spacing w:after="0" w:line="240" w:lineRule="auto"/>
      </w:pPr>
      <w:r>
        <w:continuationSeparator/>
      </w:r>
    </w:p>
  </w:footnote>
  <w:footnote w:id="1">
    <w:p w:rsidR="005879E5" w:rsidRPr="009C3D5A" w:rsidRDefault="005879E5" w:rsidP="005879E5">
      <w:pPr>
        <w:jc w:val="both"/>
      </w:pPr>
      <w:r>
        <w:rPr>
          <w:rStyle w:val="DipnotBavurusu"/>
        </w:rPr>
        <w:footnoteRef/>
      </w:r>
      <w:r>
        <w:t xml:space="preserve"> </w:t>
      </w:r>
      <w:r w:rsidRPr="009C3D5A">
        <w:t>TÜİK</w:t>
      </w:r>
      <w:r>
        <w:t>,</w:t>
      </w:r>
      <w:r w:rsidRPr="009C3D5A">
        <w:t xml:space="preserve"> </w:t>
      </w:r>
      <w:r>
        <w:t xml:space="preserve">söz konusu verileri </w:t>
      </w:r>
      <w:r w:rsidRPr="009C3D5A">
        <w:t>Ticaret Baka</w:t>
      </w:r>
      <w:r>
        <w:t xml:space="preserve">nlığı işbirliği ile hazırlamakta ve </w:t>
      </w:r>
      <w:r>
        <w:t>aylık olarak yayım</w:t>
      </w:r>
      <w:r w:rsidRPr="009C3D5A">
        <w:t xml:space="preserve">lamaktadır. </w:t>
      </w:r>
    </w:p>
    <w:p w:rsidR="005879E5" w:rsidRDefault="005879E5">
      <w:pPr>
        <w:pStyle w:val="DipnotMetni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01"/>
    <w:rsid w:val="000048F7"/>
    <w:rsid w:val="00011017"/>
    <w:rsid w:val="00014B1C"/>
    <w:rsid w:val="0001649F"/>
    <w:rsid w:val="000169CD"/>
    <w:rsid w:val="000174DC"/>
    <w:rsid w:val="00024004"/>
    <w:rsid w:val="00024E59"/>
    <w:rsid w:val="00030B38"/>
    <w:rsid w:val="00034A51"/>
    <w:rsid w:val="00047A3E"/>
    <w:rsid w:val="00047CE7"/>
    <w:rsid w:val="00066999"/>
    <w:rsid w:val="00087D30"/>
    <w:rsid w:val="000B0F76"/>
    <w:rsid w:val="000B1709"/>
    <w:rsid w:val="000C0786"/>
    <w:rsid w:val="000E09A3"/>
    <w:rsid w:val="000E65E3"/>
    <w:rsid w:val="00104735"/>
    <w:rsid w:val="00134344"/>
    <w:rsid w:val="001603F9"/>
    <w:rsid w:val="00162943"/>
    <w:rsid w:val="00162B88"/>
    <w:rsid w:val="0019086A"/>
    <w:rsid w:val="00197079"/>
    <w:rsid w:val="001A3903"/>
    <w:rsid w:val="001F4B97"/>
    <w:rsid w:val="001F5C25"/>
    <w:rsid w:val="00207511"/>
    <w:rsid w:val="00207D30"/>
    <w:rsid w:val="002117E9"/>
    <w:rsid w:val="002157EE"/>
    <w:rsid w:val="00230A29"/>
    <w:rsid w:val="002349EC"/>
    <w:rsid w:val="0023568E"/>
    <w:rsid w:val="00240215"/>
    <w:rsid w:val="00254707"/>
    <w:rsid w:val="00270B23"/>
    <w:rsid w:val="00273DDB"/>
    <w:rsid w:val="00284EE7"/>
    <w:rsid w:val="0029300F"/>
    <w:rsid w:val="00293278"/>
    <w:rsid w:val="002956A9"/>
    <w:rsid w:val="002B1532"/>
    <w:rsid w:val="002B628C"/>
    <w:rsid w:val="002B763F"/>
    <w:rsid w:val="002E5CA2"/>
    <w:rsid w:val="002E6E48"/>
    <w:rsid w:val="00314005"/>
    <w:rsid w:val="00314CD6"/>
    <w:rsid w:val="00321EBC"/>
    <w:rsid w:val="003367F9"/>
    <w:rsid w:val="00392ED5"/>
    <w:rsid w:val="003944A2"/>
    <w:rsid w:val="003C48C0"/>
    <w:rsid w:val="003D0EA9"/>
    <w:rsid w:val="003F4F3D"/>
    <w:rsid w:val="00412B6A"/>
    <w:rsid w:val="00421039"/>
    <w:rsid w:val="00446F50"/>
    <w:rsid w:val="004602F8"/>
    <w:rsid w:val="00472AF7"/>
    <w:rsid w:val="0048257F"/>
    <w:rsid w:val="004C5FAB"/>
    <w:rsid w:val="004C68B6"/>
    <w:rsid w:val="004D49AB"/>
    <w:rsid w:val="004E0C1E"/>
    <w:rsid w:val="004E7AA7"/>
    <w:rsid w:val="004F0E9E"/>
    <w:rsid w:val="004F4379"/>
    <w:rsid w:val="00501781"/>
    <w:rsid w:val="005123EB"/>
    <w:rsid w:val="00540D42"/>
    <w:rsid w:val="00577896"/>
    <w:rsid w:val="005879E5"/>
    <w:rsid w:val="00587E0B"/>
    <w:rsid w:val="005A735F"/>
    <w:rsid w:val="005B007A"/>
    <w:rsid w:val="005B74E2"/>
    <w:rsid w:val="005C02CC"/>
    <w:rsid w:val="005C1EC6"/>
    <w:rsid w:val="005D6CB6"/>
    <w:rsid w:val="005E55BC"/>
    <w:rsid w:val="005F16FA"/>
    <w:rsid w:val="006006DA"/>
    <w:rsid w:val="0060716F"/>
    <w:rsid w:val="006306C8"/>
    <w:rsid w:val="00635D39"/>
    <w:rsid w:val="006538E8"/>
    <w:rsid w:val="006634A0"/>
    <w:rsid w:val="00672626"/>
    <w:rsid w:val="00676E49"/>
    <w:rsid w:val="006864AB"/>
    <w:rsid w:val="006A09A3"/>
    <w:rsid w:val="006C1C96"/>
    <w:rsid w:val="006D5432"/>
    <w:rsid w:val="006E3C93"/>
    <w:rsid w:val="006E7CD2"/>
    <w:rsid w:val="006F66DA"/>
    <w:rsid w:val="007214CC"/>
    <w:rsid w:val="00735D9A"/>
    <w:rsid w:val="00764636"/>
    <w:rsid w:val="00790C7B"/>
    <w:rsid w:val="007A222E"/>
    <w:rsid w:val="007C155D"/>
    <w:rsid w:val="007C407A"/>
    <w:rsid w:val="007C538F"/>
    <w:rsid w:val="007D10EA"/>
    <w:rsid w:val="007E7CDF"/>
    <w:rsid w:val="007F0174"/>
    <w:rsid w:val="007F367A"/>
    <w:rsid w:val="007F50E4"/>
    <w:rsid w:val="00801235"/>
    <w:rsid w:val="00820484"/>
    <w:rsid w:val="008262AB"/>
    <w:rsid w:val="008269F5"/>
    <w:rsid w:val="00831B3B"/>
    <w:rsid w:val="008378AE"/>
    <w:rsid w:val="00847FC9"/>
    <w:rsid w:val="00867C71"/>
    <w:rsid w:val="0087171E"/>
    <w:rsid w:val="00886790"/>
    <w:rsid w:val="00890E8A"/>
    <w:rsid w:val="00894D47"/>
    <w:rsid w:val="008974F5"/>
    <w:rsid w:val="008A1816"/>
    <w:rsid w:val="008B246F"/>
    <w:rsid w:val="008B561D"/>
    <w:rsid w:val="008D17ED"/>
    <w:rsid w:val="008E2B51"/>
    <w:rsid w:val="008E61FA"/>
    <w:rsid w:val="008F7528"/>
    <w:rsid w:val="00913A90"/>
    <w:rsid w:val="00922A92"/>
    <w:rsid w:val="009435E7"/>
    <w:rsid w:val="0094521C"/>
    <w:rsid w:val="0095258A"/>
    <w:rsid w:val="00955246"/>
    <w:rsid w:val="00964942"/>
    <w:rsid w:val="0097055D"/>
    <w:rsid w:val="00981AD3"/>
    <w:rsid w:val="009C05B7"/>
    <w:rsid w:val="009C3D5A"/>
    <w:rsid w:val="009E61C5"/>
    <w:rsid w:val="009E6645"/>
    <w:rsid w:val="009E6845"/>
    <w:rsid w:val="00A01B59"/>
    <w:rsid w:val="00A06E3C"/>
    <w:rsid w:val="00A13941"/>
    <w:rsid w:val="00A17326"/>
    <w:rsid w:val="00A2009E"/>
    <w:rsid w:val="00A25582"/>
    <w:rsid w:val="00A3750A"/>
    <w:rsid w:val="00A62888"/>
    <w:rsid w:val="00A6670C"/>
    <w:rsid w:val="00A86AF1"/>
    <w:rsid w:val="00A9435C"/>
    <w:rsid w:val="00AD00C3"/>
    <w:rsid w:val="00AF5794"/>
    <w:rsid w:val="00B01160"/>
    <w:rsid w:val="00B116E5"/>
    <w:rsid w:val="00B1525D"/>
    <w:rsid w:val="00B27572"/>
    <w:rsid w:val="00B61CAE"/>
    <w:rsid w:val="00B772CF"/>
    <w:rsid w:val="00B77C4F"/>
    <w:rsid w:val="00B861B5"/>
    <w:rsid w:val="00BB0444"/>
    <w:rsid w:val="00BB3701"/>
    <w:rsid w:val="00BC0061"/>
    <w:rsid w:val="00BC608C"/>
    <w:rsid w:val="00BD283D"/>
    <w:rsid w:val="00BF70F9"/>
    <w:rsid w:val="00C13B06"/>
    <w:rsid w:val="00C1467F"/>
    <w:rsid w:val="00C1695B"/>
    <w:rsid w:val="00C21BFE"/>
    <w:rsid w:val="00C56530"/>
    <w:rsid w:val="00C6508C"/>
    <w:rsid w:val="00C7379E"/>
    <w:rsid w:val="00C77119"/>
    <w:rsid w:val="00CA31BE"/>
    <w:rsid w:val="00CA6A1E"/>
    <w:rsid w:val="00CB030C"/>
    <w:rsid w:val="00CB0A4D"/>
    <w:rsid w:val="00CC376F"/>
    <w:rsid w:val="00CD4865"/>
    <w:rsid w:val="00CD72A5"/>
    <w:rsid w:val="00CE7503"/>
    <w:rsid w:val="00D074EA"/>
    <w:rsid w:val="00D07D01"/>
    <w:rsid w:val="00D308FB"/>
    <w:rsid w:val="00D337A5"/>
    <w:rsid w:val="00D471EB"/>
    <w:rsid w:val="00D5436F"/>
    <w:rsid w:val="00D57F21"/>
    <w:rsid w:val="00D61B49"/>
    <w:rsid w:val="00D80CC9"/>
    <w:rsid w:val="00D864BD"/>
    <w:rsid w:val="00D8702A"/>
    <w:rsid w:val="00DA63E7"/>
    <w:rsid w:val="00DA7CF5"/>
    <w:rsid w:val="00DB20D7"/>
    <w:rsid w:val="00DB359A"/>
    <w:rsid w:val="00DC15D2"/>
    <w:rsid w:val="00DC3282"/>
    <w:rsid w:val="00DC5CA2"/>
    <w:rsid w:val="00DD6AA5"/>
    <w:rsid w:val="00E0516C"/>
    <w:rsid w:val="00E07918"/>
    <w:rsid w:val="00E07B1A"/>
    <w:rsid w:val="00E20164"/>
    <w:rsid w:val="00E27E57"/>
    <w:rsid w:val="00E34DEB"/>
    <w:rsid w:val="00E50701"/>
    <w:rsid w:val="00E542E3"/>
    <w:rsid w:val="00E551E6"/>
    <w:rsid w:val="00E57C88"/>
    <w:rsid w:val="00E75459"/>
    <w:rsid w:val="00E83CB2"/>
    <w:rsid w:val="00E86C2E"/>
    <w:rsid w:val="00E90F8E"/>
    <w:rsid w:val="00E92FFF"/>
    <w:rsid w:val="00EB3D95"/>
    <w:rsid w:val="00EB5E5C"/>
    <w:rsid w:val="00EC602A"/>
    <w:rsid w:val="00F079BE"/>
    <w:rsid w:val="00F11B62"/>
    <w:rsid w:val="00F138EA"/>
    <w:rsid w:val="00F306F9"/>
    <w:rsid w:val="00F3379C"/>
    <w:rsid w:val="00F41830"/>
    <w:rsid w:val="00F43AC2"/>
    <w:rsid w:val="00F53242"/>
    <w:rsid w:val="00F727B6"/>
    <w:rsid w:val="00F72F39"/>
    <w:rsid w:val="00FA365B"/>
    <w:rsid w:val="00FB066D"/>
    <w:rsid w:val="00FD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Sayfa1!$Q$7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Sayfa1!$P$8:$P$19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Sayfa1!$Q$8:$Q$19</c:f>
              <c:numCache>
                <c:formatCode>0.0</c:formatCode>
                <c:ptCount val="12"/>
                <c:pt idx="0">
                  <c:v>12.434097378000001</c:v>
                </c:pt>
                <c:pt idx="1">
                  <c:v>13.148086254000001</c:v>
                </c:pt>
                <c:pt idx="2">
                  <c:v>15.553463104</c:v>
                </c:pt>
                <c:pt idx="3">
                  <c:v>13.846989945000001</c:v>
                </c:pt>
                <c:pt idx="4">
                  <c:v>14.256887816999999</c:v>
                </c:pt>
                <c:pt idx="5">
                  <c:v>12.924491948</c:v>
                </c:pt>
                <c:pt idx="6">
                  <c:v>14.049181424</c:v>
                </c:pt>
                <c:pt idx="7">
                  <c:v>12.334264060000001</c:v>
                </c:pt>
                <c:pt idx="8">
                  <c:v>14.398211037000001</c:v>
                </c:pt>
                <c:pt idx="9">
                  <c:v>15.679137513000001</c:v>
                </c:pt>
                <c:pt idx="10">
                  <c:v>15.495418033</c:v>
                </c:pt>
                <c:pt idx="11">
                  <c:v>13.813714833000001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E4-41E1-A171-84BBD71B372F}"/>
            </c:ext>
          </c:extLst>
        </c:ser>
        <c:ser>
          <c:idx val="1"/>
          <c:order val="1"/>
          <c:tx>
            <c:strRef>
              <c:f>Sayfa1!$R$7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Sayfa1!$P$8:$P$19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Sayfa1!$R$8:$R$19</c:f>
              <c:numCache>
                <c:formatCode>0.0</c:formatCode>
                <c:ptCount val="12"/>
                <c:pt idx="0">
                  <c:v>13.185986269999999</c:v>
                </c:pt>
                <c:pt idx="1">
                  <c:v>13.577150612000001</c:v>
                </c:pt>
                <c:pt idx="2">
                  <c:v>15.485589219000001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E4-41E1-A171-84BBD71B37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7591040"/>
        <c:axId val="177592576"/>
      </c:barChart>
      <c:catAx>
        <c:axId val="1775910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77592576"/>
        <c:crosses val="autoZero"/>
        <c:auto val="1"/>
        <c:lblAlgn val="ctr"/>
        <c:lblOffset val="100"/>
        <c:noMultiLvlLbl val="0"/>
      </c:catAx>
      <c:valAx>
        <c:axId val="177592576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775910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/>
      </a:pPr>
      <a:endParaRPr lang="tr-T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Sayfa1!$Q$22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Sayfa1!$P$23:$P$34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Sayfa1!$Q$23:$Q$34</c:f>
              <c:numCache>
                <c:formatCode>0.0</c:formatCode>
                <c:ptCount val="12"/>
                <c:pt idx="0">
                  <c:v>21.522724038</c:v>
                </c:pt>
                <c:pt idx="1">
                  <c:v>18.937034434999998</c:v>
                </c:pt>
                <c:pt idx="2">
                  <c:v>21.434987855999999</c:v>
                </c:pt>
                <c:pt idx="3">
                  <c:v>20.556735969000002</c:v>
                </c:pt>
                <c:pt idx="4">
                  <c:v>22.067044497000001</c:v>
                </c:pt>
                <c:pt idx="5">
                  <c:v>18.448967633000002</c:v>
                </c:pt>
                <c:pt idx="6">
                  <c:v>20.057372586</c:v>
                </c:pt>
                <c:pt idx="7">
                  <c:v>14.803535050000001</c:v>
                </c:pt>
                <c:pt idx="8">
                  <c:v>16.326466624999998</c:v>
                </c:pt>
                <c:pt idx="9">
                  <c:v>16.174074887</c:v>
                </c:pt>
                <c:pt idx="10">
                  <c:v>16.164038475999998</c:v>
                </c:pt>
                <c:pt idx="11">
                  <c:v>16.554456034000001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3E-4B63-8D6E-B75103F23231}"/>
            </c:ext>
          </c:extLst>
        </c:ser>
        <c:ser>
          <c:idx val="1"/>
          <c:order val="1"/>
          <c:tx>
            <c:strRef>
              <c:f>Sayfa1!$R$22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Sayfa1!$P$23:$P$34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Sayfa1!$R$23:$R$34</c:f>
              <c:numCache>
                <c:formatCode>0.0</c:formatCode>
                <c:ptCount val="12"/>
                <c:pt idx="0">
                  <c:v>15.671030168</c:v>
                </c:pt>
                <c:pt idx="1">
                  <c:v>15.726741742</c:v>
                </c:pt>
                <c:pt idx="2">
                  <c:v>17.622315935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3E-4B63-8D6E-B75103F232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4419712"/>
        <c:axId val="104421248"/>
      </c:barChart>
      <c:catAx>
        <c:axId val="1044197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4421248"/>
        <c:crosses val="autoZero"/>
        <c:auto val="1"/>
        <c:lblAlgn val="ctr"/>
        <c:lblOffset val="100"/>
        <c:noMultiLvlLbl val="0"/>
      </c:catAx>
      <c:valAx>
        <c:axId val="10442124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extTo"/>
        <c:crossAx val="1044197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38A42-ACE2-4C34-A15A-67533F7D9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</dc:creator>
  <cp:lastModifiedBy>AsusZ143</cp:lastModifiedBy>
  <cp:revision>2</cp:revision>
  <dcterms:created xsi:type="dcterms:W3CDTF">2019-04-30T10:42:00Z</dcterms:created>
  <dcterms:modified xsi:type="dcterms:W3CDTF">2019-04-30T10:42:00Z</dcterms:modified>
</cp:coreProperties>
</file>